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9"/>
        <w:gridCol w:w="7801"/>
      </w:tblGrid>
      <w:tr w:rsidR="00466A41" w:rsidRPr="00FC6D9B" w:rsidTr="00C31769"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41" w:rsidRPr="00466A41" w:rsidRDefault="00466A41" w:rsidP="00466A4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66A4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รายละเอียดตัวชี้วัด</w:t>
            </w:r>
            <w:r w:rsidR="008777E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จังหวัดศรีสะ</w:t>
            </w:r>
            <w:proofErr w:type="spellStart"/>
            <w:r w:rsidR="008777E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เกษ</w:t>
            </w:r>
            <w:proofErr w:type="spellEnd"/>
            <w:r w:rsidR="008777E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ปี งบประมาณ </w:t>
            </w:r>
            <w:r w:rsidR="008777E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41" w:rsidRPr="00BD317F" w:rsidRDefault="00466A41" w:rsidP="00466A4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17F">
              <w:rPr>
                <w:rFonts w:ascii="TH SarabunPSK" w:hAnsi="TH SarabunPSK" w:cs="TH SarabunPSK"/>
                <w:sz w:val="32"/>
                <w:szCs w:val="32"/>
              </w:rPr>
              <w:t>Promotion</w:t>
            </w:r>
            <w:r w:rsidRPr="00BD317F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BD317F">
              <w:rPr>
                <w:rFonts w:ascii="TH SarabunPSK" w:hAnsi="TH SarabunPSK" w:cs="TH SarabunPSK"/>
                <w:sz w:val="32"/>
                <w:szCs w:val="32"/>
              </w:rPr>
              <w:t xml:space="preserve"> Prevention &amp; Protection Excellence </w:t>
            </w:r>
          </w:p>
          <w:p w:rsidR="00466A41" w:rsidRPr="00BD317F" w:rsidRDefault="00466A41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D317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17F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ยุทธศาสตร์ด้านส่งเสริมสุขภาพ ป้องกันโรค และคุ้มครองผู้บริโภคเป็นเลิศ)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แผนที่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CB3CB6" w:rsidRDefault="00466A41" w:rsidP="00466A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CB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การพัฒนาคุณภาพชีวิตคนไทยทุกกลุ่มวัย (ด้านสุขภาพ)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โครงการที่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3F14C7" w:rsidRDefault="00466A41" w:rsidP="00466A41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14C7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การป้องกันควบคุมโรคและลดปัจจัยเสี่ยงด้านสุขภาพ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ระดับการแสดงผล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CB3CB6" w:rsidRDefault="00466A41" w:rsidP="00466A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3CB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การพัฒนาคุณภาพชีวิตคนไทยทุกกลุ่มวัย (ด้านสุขภาพ)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Default="00466A41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ร้อยละของประชาชนมีศักยภาพในการจัดการสุขภาพตนเองได้ตามเกณฑ์</w:t>
            </w:r>
          </w:p>
          <w:p w:rsidR="00087FD3" w:rsidRDefault="008777E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  <w:r w:rsidR="00087F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โรงพยาบาลของรัฐ</w:t>
            </w:r>
            <w:r w:rsidR="00087FD3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ดำเนิน</w:t>
            </w:r>
            <w:r w:rsidR="00087F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งานตามมาตรฐานสุขศึกษา ผ่านเกณฑ์ระดับคุณภาพ</w:t>
            </w:r>
          </w:p>
          <w:p w:rsidR="00466A41" w:rsidRDefault="008777E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รพ.สต.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ดำเนิน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งานตามมาตรฐานสุขศึกษา </w:t>
            </w:r>
          </w:p>
          <w:p w:rsidR="00466A41" w:rsidRDefault="008777E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 w:rsidR="009731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รพ.สต.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ดำเนิน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งานตามมาตรฐานสุขศึกษา ผ</w:t>
            </w:r>
            <w:r w:rsidR="009731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่านเก</w:t>
            </w:r>
            <w:r w:rsidR="00464B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ณฑ์ระดับพัฒนา ขึ้นไป</w:t>
            </w:r>
          </w:p>
          <w:p w:rsidR="00466A41" w:rsidRDefault="00466A41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 w:rsidR="009731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  <w:r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87F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ชุมชน/หมู่บ้าน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มีการดำเนินงานพัฒนาความรอบรู้ด้านสุขภาพและ</w:t>
            </w:r>
            <w:r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ปรับเปลี่ยนพฤติกรรมสุขภาพ</w:t>
            </w:r>
            <w:r w:rsidR="00087F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087FD3" w:rsidRDefault="00087FD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 w:rsidR="0097314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  <w:r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โรงเรียนมีการดำเนินงานพัฒนาความรอบรู้ด้านสุขภาพและพฤติกรรมสุขภาพ ตามแนวทางสุขบัญญัติแห่งชาติ</w:t>
            </w:r>
          </w:p>
          <w:p w:rsidR="00466A41" w:rsidRPr="00E422CC" w:rsidRDefault="00973147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75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ประ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</w:t>
            </w:r>
            <w:r w:rsidR="00AE23F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ชนวัย </w:t>
            </w:r>
            <w:r w:rsidR="00AE23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ปี ขึ้นไป มีความรอบรู้ด้านสุขภาพ</w:t>
            </w:r>
            <w:r w:rsidR="00DA39C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และมีพฤติกรรมสุขภาพที่ถูกต้องตามพฤติกรรมที่กำหนด</w:t>
            </w:r>
            <w:r w:rsidR="000A58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="000A58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HL:HB</w:t>
            </w:r>
            <w:r w:rsidR="000A58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ระดับดี ขึ้น</w:t>
            </w:r>
            <w:r w:rsidR="001625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ไป </w:t>
            </w:r>
          </w:p>
          <w:p w:rsidR="00466A41" w:rsidRPr="00C47396" w:rsidRDefault="00973147" w:rsidP="0016252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75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เด็กและเยาวชน</w:t>
            </w:r>
            <w:r w:rsidR="00AE23F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อายุ </w:t>
            </w:r>
            <w:r w:rsidR="00AE23F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7-14 </w:t>
            </w:r>
            <w:r w:rsidR="00AE23F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16252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มีความรอบรู้ด้านสุขภาพ</w:t>
            </w:r>
            <w:r w:rsidR="001625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พฤติสุขภาพที่ถูกต้องตามสุขบ</w:t>
            </w:r>
            <w:r w:rsidR="001625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ัญญัติแห่งชาติ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A58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="000A58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HL:HB</w:t>
            </w:r>
            <w:r w:rsidR="000A58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0A58D2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66A41"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ระดับดี ขึ้นไป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1625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E36FBE" w:rsidRDefault="00466A41" w:rsidP="00466A41">
            <w:pPr>
              <w:contextualSpacing/>
              <w:rPr>
                <w:rStyle w:val="a4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Default="008777E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1</w:t>
            </w:r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.ระบบงานสุขศึกษา หมายถึง กรอบแนวทางในการดำเนินงานและวัดความสำเร็จ ของงานสุขศึกษาและพัฒนาพฤติกรรมสุขภาพในโรงพยาบาลอย่างเป็นระบบ มีความชัดเจนทั้งเรื่องของปัจจัยนำเข้า/สิ่งสนับสนุน กระบวนการ ผลผลิต และผลลัพธ์ ซึ่งต้องมีการใช้องค์ความรู้ในหลายๆด้าน ในการดำเนินงานการพัฒนาคุณภาพงานสุขศึกษาครอบคลุมทั้งในส่วนของงานบริการที่จะส่งมอบให้กับประชาชนเพื่อนำไปสู่การมีสุขภาพดี และการพัฒนาบุคลากรของสถานบริการสุขภาพให้มีคุณภาพเป็นที่ยอมรับ และสามารถสร้างผลงานให้เป็นที่ประจักษ์และพัฒนาต่อยอดได้ในอนาคต งานสุขศึกษาจึงเป็นมาตรฐานเชิงระบบที่ครอบคลุมการบริหารจัดการองค์กร สนับสนุนให้เกิดกระบวนการดำเนินงานที่มีประสิทธิภาพและประสิทธิผลให้ได้ผลลัพธ์การดำเนินงานสุขศึกษาและพฤติกรรมสุขภาพที่พึงประสงค์</w:t>
            </w:r>
          </w:p>
          <w:p w:rsidR="00466A41" w:rsidRDefault="008777E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2</w:t>
            </w:r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 สุขศึกษา หมายถึง กระบวนการจัดโอกาส การเรียนรู้ และพัฒนาทักษะด้านสุขภาพ รวมถึงปัจจัยอื่นๆ เกี่ยวกับสภาวะทางเศรษฐกิจ สังคม และสิ่งแวดล้อมที่มีผลกระทบต่อสุขภาพ อันจะนำไปสู่การปรับเปลี่ยนพฤติกรรมสุขภาพของบุคคล ครอบครัว และชุมชน</w:t>
            </w:r>
          </w:p>
          <w:p w:rsidR="00466A41" w:rsidRPr="00087E23" w:rsidRDefault="008777E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3</w:t>
            </w:r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 ความรอบรู้ด้านสุขภาพ (</w:t>
            </w:r>
            <w:r w:rsidR="00466A41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Health Literacy :HL</w:t>
            </w:r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) หมายถึง</w:t>
            </w:r>
            <w:r w:rsidR="00466A41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และชุมชนเพื่อสุขภาพที่ดีในการเข้าถึงข้อมูล ความรู้ ความเข้าใจ เพื่อวิเคราะห์ประเมินการปฏิบัติ และจัดการตนเอง รวมทั้งสามารถชี้แนะเรื่องสุขภาพแก่บุคคล ครอบครัว</w:t>
            </w:r>
          </w:p>
          <w:p w:rsidR="00466A41" w:rsidRDefault="008777E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4</w:t>
            </w:r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 พฤติกรรมสุขภาพ (</w:t>
            </w:r>
            <w:r w:rsidR="00466A41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Health Behavior : HB</w:t>
            </w:r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) หมายถึง การปฏิบัติหรือแสดงออกของบุคคล ในการกระทำหรืองดเว้นการกระทำในสิ่งที่มีผลต่อสุขภาพ โดยตั้งใจหรือไม่ตั้งใจก็ตาม ซึ่งมีผลมาจากความรู้ ความเข้าใจ เจตคติและการปฏิบัติทางสุขภาพที่เกี่ยวข้อง สัมพันธ์กันอย่างเหมาะสม</w:t>
            </w:r>
          </w:p>
          <w:p w:rsidR="00466A41" w:rsidRDefault="008777E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5</w:t>
            </w:r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.มาตรฐานงานสุขศึกษา หมายถึง สิ่งที่กำหนดขึ้น เพื่อใช้เป็นกรอบในการดำเนินงาน และวัดความสำเร็จของงานสุขศึกษา  ในสถานบริการสุขภาพภาครัฐ</w:t>
            </w:r>
          </w:p>
          <w:p w:rsidR="00466A41" w:rsidRPr="00FC6D9B" w:rsidRDefault="008777E3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6</w:t>
            </w:r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 ยุ</w:t>
            </w:r>
            <w:proofErr w:type="spellStart"/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วอา</w:t>
            </w:r>
            <w:proofErr w:type="spellEnd"/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สาสมัครสาธารณสุขในโรงเรียน หมายถึง  </w:t>
            </w:r>
            <w:r w:rsidR="00FF2830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นักเรียนที่มีจิตอาสา เป็นอาสาสมัครในการดูแลสุขภาพเพื่อนนักเรียนด้วยกัน รวมทั้งชุมชนของนักเรียนที่อาศัยอยู่ โดยได้รับการคัดเลือกจากโรงเรียน</w:t>
            </w:r>
            <w:bookmarkStart w:id="0" w:name="_GoBack"/>
            <w:bookmarkEnd w:id="0"/>
            <w:r w:rsidR="00466A41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 </w:t>
            </w:r>
          </w:p>
        </w:tc>
      </w:tr>
      <w:tr w:rsidR="00466A41" w:rsidRPr="00FC6D9B" w:rsidTr="00323FD1"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634"/>
            </w:tblGrid>
            <w:tr w:rsidR="00466A41" w:rsidRPr="00B50AE3" w:rsidTr="00420B38">
              <w:trPr>
                <w:trHeight w:val="147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A41" w:rsidRPr="00B50AE3" w:rsidRDefault="00466A41" w:rsidP="00466A41">
                  <w:pPr>
                    <w:rPr>
                      <w:rFonts w:ascii="TH SarabunPSK" w:hAnsi="TH SarabunPSK" w:cs="TH SarabunPSK"/>
                      <w:sz w:val="28"/>
                      <w:cs/>
                      <w:lang w:val="en-GB"/>
                    </w:rPr>
                  </w:pPr>
                  <w:r w:rsidRPr="00B50AE3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lastRenderedPageBreak/>
                    <w:t>เกณฑ์เป้าหมาย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071"/>
                    <w:gridCol w:w="1630"/>
                    <w:gridCol w:w="1766"/>
                    <w:gridCol w:w="1891"/>
                    <w:gridCol w:w="1891"/>
                  </w:tblGrid>
                  <w:tr w:rsidR="00466A41" w:rsidRPr="00B50AE3" w:rsidTr="00420B38">
                    <w:trPr>
                      <w:trHeight w:val="269"/>
                      <w:jc w:val="center"/>
                    </w:trPr>
                    <w:tc>
                      <w:tcPr>
                        <w:tcW w:w="20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8777E3" w:rsidP="00466A4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61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8777E3" w:rsidP="00466A4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62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8777E3" w:rsidP="00466A4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63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8777E3" w:rsidP="00466A4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64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8777E3" w:rsidP="00466A4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65</w:t>
                        </w:r>
                      </w:p>
                    </w:tc>
                  </w:tr>
                  <w:tr w:rsidR="00466A41" w:rsidRPr="00B50AE3" w:rsidTr="00420B38">
                    <w:trPr>
                      <w:trHeight w:val="532"/>
                      <w:jc w:val="center"/>
                    </w:trPr>
                    <w:tc>
                      <w:tcPr>
                        <w:tcW w:w="20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AE23FD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50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lang w:val="en-GB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-</w:t>
                        </w:r>
                        <w:r w:rsidR="008777E3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ร้อยละ </w:t>
                        </w:r>
                        <w:r w:rsidR="008777E3">
                          <w:rPr>
                            <w:rFonts w:ascii="TH SarabunPSK" w:hAnsi="TH SarabunPSK" w:cs="TH SarabunPSK"/>
                            <w:sz w:val="28"/>
                          </w:rPr>
                          <w:t>60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66A41" w:rsidRPr="00B50AE3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-</w:t>
                        </w:r>
                        <w:r w:rsidR="008777E3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ร้อยละ </w:t>
                        </w:r>
                        <w:r w:rsidR="008777E3">
                          <w:rPr>
                            <w:rFonts w:ascii="TH SarabunPSK" w:hAnsi="TH SarabunPSK" w:cs="TH SarabunPSK"/>
                            <w:sz w:val="28"/>
                          </w:rPr>
                          <w:t>75</w:t>
                        </w:r>
                      </w:p>
                    </w:tc>
                  </w:tr>
                </w:tbl>
                <w:p w:rsidR="00466A41" w:rsidRPr="00CC5165" w:rsidRDefault="00466A41" w:rsidP="00466A41">
                  <w:pPr>
                    <w:tabs>
                      <w:tab w:val="left" w:pos="984"/>
                    </w:tabs>
                    <w:rPr>
                      <w:rFonts w:ascii="TH SarabunPSK" w:hAnsi="TH SarabunPSK" w:cs="TH SarabunPSK"/>
                      <w:sz w:val="28"/>
                      <w:cs/>
                      <w:lang w:val="en-GB"/>
                    </w:rPr>
                  </w:pPr>
                </w:p>
              </w:tc>
            </w:tr>
          </w:tbl>
          <w:p w:rsidR="00466A41" w:rsidRDefault="00466A41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</w:p>
        </w:tc>
      </w:tr>
      <w:tr w:rsidR="00466A41" w:rsidRPr="00FC6D9B" w:rsidTr="00CE19C6">
        <w:tc>
          <w:tcPr>
            <w:tcW w:w="10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66A41" w:rsidRPr="00FC6D9B" w:rsidTr="00A55B53">
        <w:trPr>
          <w:trHeight w:val="41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Default="008777E3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.สถานบริการสุขภาพภาครัฐ ผ่านเกณฑ์คุณภาพงานตามมาตรฐานระบบบริการสุขภาพด้านสุขศึกษา</w:t>
            </w:r>
          </w:p>
          <w:p w:rsidR="00466A41" w:rsidRDefault="008777E3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.หมู่บ้านปรับเปลี่ยนพฤติกรรมสุขภาพผ่านเกณฑ์การประเมิน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๓.โรงเรียนส่งเสริมสุขบัญญัติแห่งชาติผ่านเกณฑ์การประเมิน</w:t>
            </w:r>
          </w:p>
          <w:p w:rsidR="00466A41" w:rsidRDefault="008777E3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.ประชาชนกลุ่มเ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ป้าหมาย (กลุ่มเด็ก/เยาวชน อายุ </w:t>
            </w:r>
            <w:r w:rsidR="0099361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99361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ปี และกลุ่มประชาชนอายุ </w:t>
            </w:r>
            <w:r w:rsidR="0099361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ปีขึ้นไป) มีความรอบรู้ด้านสุขภาพ และมีพฤติกรรมสุขภาพตามที่กำหนด สามารถดูแลสุขภาพตนเองได้ และชุมชนจัดการสุขภาพเพื่อการพึ่งตนเองด้านสุขภาพได้อย่างยั่งยืน</w:t>
            </w:r>
          </w:p>
          <w:p w:rsidR="00466A41" w:rsidRPr="00FC6D9B" w:rsidRDefault="008777E3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.ยุ</w:t>
            </w:r>
            <w:proofErr w:type="spellStart"/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วอา</w:t>
            </w:r>
            <w:proofErr w:type="spellEnd"/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สาสมัคร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สาธารณสุขในโรงเรียน อย่างน้อย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คน/โรงเรียน/รพ.สต.ได้รับการพัฒนา</w:t>
            </w:r>
          </w:p>
        </w:tc>
      </w:tr>
      <w:tr w:rsidR="00466A41" w:rsidRPr="00FC6D9B" w:rsidTr="00152B75">
        <w:trPr>
          <w:trHeight w:val="96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เป้าหมายดำเนินงาน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ระดับตำบล 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E2BA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ดำเนินการ ทุกหมู่บ้าน/ทุกโรงเรียน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บันทึกโปรแกรม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Health Gate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-มีต้นแบบหมู่บ้านปรับเปลี่ย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นพฤติกรรมสุขภาพลดโรคฯ รพ.สต.ละ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หมู่บ้าน</w:t>
            </w:r>
          </w:p>
          <w:p w:rsidR="00B719EF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-มี</w:t>
            </w:r>
            <w:r w:rsidR="00B719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ต้นแบบโรงเรียน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ส่งเส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ริมสุขบัญญัติแห่งชาติ รพ.สต.ละ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โรงเรียน</w:t>
            </w:r>
          </w:p>
          <w:p w:rsidR="00466A41" w:rsidRPr="0099361F" w:rsidRDefault="00B719EF" w:rsidP="00466A41">
            <w:pPr>
              <w:contextualSpacing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-มีชุมชนรอบรู้ด้านสุขภาพ ตำบลละ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ชุมชน</w:t>
            </w:r>
            <w:r w:rsidR="00466A41" w:rsidRPr="004E2BA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(รพ.สต.ผ่านเกณฑ์มาตรฐานสุขศึกษา ระดับคุณภาพ มีหมู่บ้านผ่านเกณฑ์ ระดับดีขึ้นไปอย่างน้อย </w:t>
            </w:r>
            <w:r w:rsidR="0099361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หมู่บ้านและมีโรงเรียนผ่านเกณฑ์ ระดับดีขึ้นไป อย่างน้อย </w:t>
            </w:r>
            <w:r w:rsidR="0099361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โรงเรียน)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ระดับอำเภอ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2F58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มีต้นแบบชุมชนรอบรู้ด้านส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ุขภาพทุกอำเภอ อย่างน้อยอำเภอละ </w:t>
            </w:r>
            <w:r w:rsidR="00B71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ชุมชน/</w:t>
            </w:r>
            <w:r w:rsidR="0099361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B719E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2F58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ตำบล</w:t>
            </w:r>
          </w:p>
          <w:p w:rsidR="00466A41" w:rsidRPr="002F5822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โดยต้นแบบชุมชนรอบรู้ด้านสุขภาพ หมายถึง</w:t>
            </w:r>
            <w:r w:rsidRPr="002F58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ในตำบลเดียวกันต้องผ่านคุณภาพ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ด้านดังนี้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3313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รพ.สต.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ผ่านเกณฑ์มาตรฐานสุขศึกษาระดับคุณภาพ 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หมู่บ้านปรับเปลี่ยนพฤติกรรมสุขภาพลดโรคฯ ผ่านการประเมินระดับดีเยี่ยม </w:t>
            </w:r>
          </w:p>
          <w:p w:rsidR="00466A41" w:rsidRPr="00152B75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โรงเรียนส่งเสริมสุขบัญญัติแห่งชาติ ผ่านการประเมินระดับดีเยี่ยม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พื้นที่และ</w:t>
            </w: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ประชากรกลุ่มเป้าหมาย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1F" w:rsidRDefault="0099361F" w:rsidP="00466A41">
            <w:pPr>
              <w:tabs>
                <w:tab w:val="left" w:pos="4335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รพศ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รพท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รพช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ทุกแห่ง</w:t>
            </w:r>
          </w:p>
          <w:p w:rsidR="00466A41" w:rsidRDefault="00466A41" w:rsidP="00466A41">
            <w:pPr>
              <w:tabs>
                <w:tab w:val="left" w:pos="4335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รพ.สต. ทุกแห่ง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466A41" w:rsidRDefault="00466A41" w:rsidP="00466A41">
            <w:pPr>
              <w:tabs>
                <w:tab w:val="left" w:pos="4335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หมู่บ้าน ทุกหมู่บ้าน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466A41" w:rsidRDefault="00466A41" w:rsidP="00466A41">
            <w:pPr>
              <w:tabs>
                <w:tab w:val="left" w:pos="4335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โรงเรียน  ทุกแห่ง </w:t>
            </w:r>
          </w:p>
          <w:p w:rsidR="00466A41" w:rsidRDefault="00466A41" w:rsidP="00466A41">
            <w:pPr>
              <w:tabs>
                <w:tab w:val="left" w:pos="4335"/>
              </w:tabs>
              <w:contextualSpacing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ชนวัย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  <w:r w:rsidRPr="00E422C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ปี ขึ้นไป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(ตอบแบ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บสอบถามกลุ่มตัวอย่าง หมู่บ้านละ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คน) 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466A41" w:rsidRDefault="00466A41" w:rsidP="00466A41">
            <w:pPr>
              <w:tabs>
                <w:tab w:val="left" w:pos="4335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เด็กและเยาวชน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อายุ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ปี (ตอบแบ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บสอบถามกลุ่มตัวอย่าง 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ละ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คน)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9361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466A41" w:rsidRPr="00FC6D9B" w:rsidRDefault="00466A41" w:rsidP="0099361F">
            <w:pPr>
              <w:tabs>
                <w:tab w:val="left" w:pos="4335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ยุ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วอา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สาสมัครสาธารณสุข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ในโรงเรียน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ประถมศึกษา/ขยายโอกาส (ยุ</w:t>
            </w:r>
            <w:proofErr w:type="spellStart"/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ว.อ</w:t>
            </w:r>
            <w:proofErr w:type="spellEnd"/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สม.) 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อย่างน้อย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โรงเรียนละ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="0099361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คน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8777E3" w:rsidRDefault="00466A41" w:rsidP="008777E3">
            <w:pPr>
              <w:pStyle w:val="a3"/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รพ.สต.ประเมินตนเองในระบบ เว็บไซต์ กองสุขศึกษา</w:t>
            </w:r>
            <w:r w:rsidRP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777E3"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="008777E3" w:rsidRP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ครั้ง/ปี</w:t>
            </w:r>
            <w:r w:rsidRP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ดังนี้</w:t>
            </w:r>
          </w:p>
          <w:p w:rsidR="00466A41" w:rsidRDefault="00466A41" w:rsidP="00466A41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ประเมินมาตรฐานงานสุขศึกษา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ก่อนและหลังดำเนินการ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466A41" w:rsidRDefault="00466A41" w:rsidP="00466A41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ประเมินหมู่บ้านปรับเปลี่ยนพฤติกรรมสุขภาพ ก่อนและหลังดำเนินการ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466A41" w:rsidRDefault="00466A41" w:rsidP="00466A41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ประเมินโรงเรียนส่งเสริมสุขบัญญัติแห่งชาติ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ก่อนและหลังดำเนินการ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466A41" w:rsidRDefault="00466A41" w:rsidP="00466A41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ประเมินความรอบรู้ด้านสุขภาพ ในกลุ่มวัยทำงาน และกลุ่มเด็กวัยเรียน/เยาวชน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รอบ/ปี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466A41" w:rsidRPr="008777E3" w:rsidRDefault="00466A41" w:rsidP="008777E3">
            <w:pPr>
              <w:pStyle w:val="a3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รพ.สต.วางแผนการพัฒนาและวางแผนแก้ปัญหาตามส่วนขาด</w:t>
            </w:r>
          </w:p>
          <w:p w:rsidR="00466A41" w:rsidRPr="008777E3" w:rsidRDefault="00466A41" w:rsidP="008777E3">
            <w:pPr>
              <w:pStyle w:val="a3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รพ.สต.ดำเนินการตามแผนงาน/โครงการ</w:t>
            </w:r>
            <w:r w:rsidRP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และสรุปผลการดำเนินงาน</w:t>
            </w:r>
          </w:p>
          <w:p w:rsidR="00466A41" w:rsidRPr="008777E3" w:rsidRDefault="00466A41" w:rsidP="008777E3">
            <w:pPr>
              <w:pStyle w:val="a3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คณะกรรมการพัฒนางานสุขศึกษาและพฤติกรรมสุขภาพระดับอำเภอ/โซนเยี่ยมเสริมพลังและร่วมพัฒนากระบวนงานสุขศึกษาและพฤติกรรมสุขภาพ</w:t>
            </w:r>
          </w:p>
          <w:p w:rsidR="00466A41" w:rsidRPr="008777E3" w:rsidRDefault="00466A41" w:rsidP="008777E3">
            <w:pPr>
              <w:pStyle w:val="a3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คณะกรรมการเยี่ยมประเมินผลการดำเนินงานระดับจังหวัด (</w:t>
            </w:r>
            <w:r w:rsidRP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RANKING</w:t>
            </w:r>
            <w:r w:rsidRP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</w:p>
          <w:p w:rsidR="00466A41" w:rsidRDefault="00466A41" w:rsidP="008777E3">
            <w:pPr>
              <w:pStyle w:val="a3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คณะกรรมการเยี่ยมประเมินผลการดำเนินงานระดับเขต โดย</w:t>
            </w:r>
            <w:r w:rsidR="008777E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ศูนย์สนับสนุนบริการสุขภาพเขต </w:t>
            </w:r>
            <w:r w:rsidR="008777E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อุบลราชธานี สุ่มเยี่ยมประเมินผลการดำเนินงาน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209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="004209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อำเภอ)</w:t>
            </w:r>
          </w:p>
          <w:p w:rsidR="00466A41" w:rsidRDefault="00466A41" w:rsidP="008777E3">
            <w:pPr>
              <w:pStyle w:val="a3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รพ.สต.ประเมินตนเองเมื่อสิ้นสุดแผนงาน/โครงการ</w:t>
            </w:r>
          </w:p>
          <w:p w:rsidR="00466A41" w:rsidRDefault="00466A41" w:rsidP="008777E3">
            <w:pPr>
              <w:pStyle w:val="a3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อำเภอสรุปรายงานผลการดำเนินงาน</w:t>
            </w:r>
          </w:p>
          <w:p w:rsidR="00466A41" w:rsidRPr="00EB5AC3" w:rsidRDefault="00466A41" w:rsidP="008777E3">
            <w:pPr>
              <w:pStyle w:val="a3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จังหวัดสรุปรายงานผลการดำเนินงาน 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แหล่งข้อมูล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Default="004209D4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.โรงพยาบาลทุกแห่ง</w:t>
            </w:r>
          </w:p>
          <w:p w:rsidR="00466A41" w:rsidRDefault="004209D4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.โรงพยาบาลส่งเสริมสุขภาพตำบล ทุกแห่ง</w:t>
            </w:r>
          </w:p>
          <w:p w:rsidR="00466A41" w:rsidRDefault="004209D4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.โรงเรียนประถมศึกษา และขยายโอกาส ทุกแห่ง</w:t>
            </w:r>
          </w:p>
          <w:p w:rsidR="00466A41" w:rsidRDefault="004209D4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.สำนักงานสาธารณสุขอำเภอ ทุกอำเภอ</w:t>
            </w:r>
          </w:p>
          <w:p w:rsidR="00466A41" w:rsidRDefault="004209D4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.กองสุขศึกษา</w:t>
            </w:r>
          </w:p>
          <w:p w:rsidR="00466A41" w:rsidRDefault="004209D4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5.1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ประมวลผลจากโปรแกรมสุขศึกษา</w:t>
            </w:r>
            <w:r w:rsidR="00466A4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="00466A41">
              <w:rPr>
                <w:rFonts w:ascii="TH SarabunPSK" w:hAnsi="TH SarabunPSK" w:cs="TH SarabunPSK"/>
                <w:color w:val="000000"/>
                <w:sz w:val="32"/>
                <w:szCs w:val="32"/>
              </w:rPr>
              <w:t>Health Gate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466A41" w:rsidRDefault="00466A41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-ในหมู่บ้าน เพื่อการเสริมสร้างความรอบรู้ด้านสุขภาพ ตามหลัก ๓อ.๒ส.</w:t>
            </w:r>
          </w:p>
          <w:p w:rsidR="00466A41" w:rsidRDefault="00466A41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-ในโรงเรียน เพื่อเสริมสร้างความรอบรู้ด้</w:t>
            </w:r>
            <w:r w:rsidR="004209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านสุขภาพตามสุขบัญญัติแห่งชาติ </w:t>
            </w:r>
            <w:r w:rsidR="004209D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ประการ</w:t>
            </w:r>
          </w:p>
          <w:p w:rsidR="00466A41" w:rsidRPr="00FC6D9B" w:rsidRDefault="004209D4" w:rsidP="00466A41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5.2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ประเมินความรอบรู้ด้า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นสุขภาพ ของกลุ่มวัยทำงาน อายุ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ปีขึ้นไป และกลุ่มวัยเรียน อายุ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66A4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  <w:r w:rsidR="00466A4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ปี ในเว็บไซต์กองสุขศึกษา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รายการข้อมูล </w:t>
            </w:r>
            <w:r w:rsidR="004209D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A=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โรงพยาบาลส่งเสริมสุขภาพตำบล ผ่านเกณฑ์ประเมิน 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รายการข้อมูล ๒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B=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โรงพยาบาลส่งเสริมสุขภาพตำบล ทุกแห่ง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สูตรคำนวณตัวชี้วัด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pStyle w:val="1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sz w:val="32"/>
                <w:szCs w:val="32"/>
              </w:rPr>
              <w:t xml:space="preserve">(A/B) x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กันยายน  ๒๕๖๔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66A41" w:rsidRPr="00FC6D9B" w:rsidTr="00CE19C6">
        <w:trPr>
          <w:trHeight w:val="1333"/>
        </w:trPr>
        <w:tc>
          <w:tcPr>
            <w:tcW w:w="10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</w:t>
            </w: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:</w:t>
            </w:r>
          </w:p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๒๕๖๔</w:t>
            </w: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</w:p>
          <w:tbl>
            <w:tblPr>
              <w:tblpPr w:leftFromText="180" w:rightFromText="180" w:bottomFromText="160" w:vertAnchor="text" w:horzAnchor="margin" w:tblpXSpec="center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583"/>
              <w:gridCol w:w="2494"/>
              <w:gridCol w:w="2494"/>
            </w:tblGrid>
            <w:tr w:rsidR="00466A41" w:rsidRPr="00FC6D9B" w:rsidTr="00611EB2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A41" w:rsidRPr="00FC6D9B" w:rsidRDefault="00466A41" w:rsidP="00466A41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รอบ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๓</w:t>
                  </w: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เดือน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A41" w:rsidRPr="00FC6D9B" w:rsidRDefault="00466A41" w:rsidP="00466A41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รอบ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๖</w:t>
                  </w: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 เดือน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A41" w:rsidRPr="00FC6D9B" w:rsidRDefault="00466A41" w:rsidP="00466A41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รอบ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๙ </w:t>
                  </w: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A41" w:rsidRPr="00FC6D9B" w:rsidRDefault="00466A41" w:rsidP="00466A41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รอบ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๑๒ </w:t>
                  </w: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</w:p>
              </w:tc>
            </w:tr>
            <w:tr w:rsidR="00466A41" w:rsidRPr="00FC6D9B" w:rsidTr="00611EB2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A41" w:rsidRPr="00D95B12" w:rsidRDefault="00466A41" w:rsidP="00466A41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D95B12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ดำเนินการ ข้อ ๑-๒</w:t>
                  </w:r>
                </w:p>
                <w:p w:rsidR="00466A41" w:rsidRDefault="00466A41" w:rsidP="00466A41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466A41" w:rsidRPr="00FC6D9B" w:rsidRDefault="00466A41" w:rsidP="00466A41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A41" w:rsidRPr="00FC6D9B" w:rsidRDefault="00466A41" w:rsidP="00466A41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ดำเนินการ ข้อ ๓-๔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A41" w:rsidRPr="00FC6D9B" w:rsidRDefault="00466A41" w:rsidP="00466A41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ดำเนินการ ข้อ ๕-๗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A41" w:rsidRPr="00FC6D9B" w:rsidRDefault="00466A41" w:rsidP="00466A41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ดำเนินการ ข้อ ๘-๙</w:t>
                  </w:r>
                </w:p>
              </w:tc>
            </w:tr>
          </w:tbl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6A41" w:rsidRPr="00FC6D9B" w:rsidTr="00EC6D62">
        <w:trPr>
          <w:trHeight w:val="1268"/>
        </w:trPr>
        <w:tc>
          <w:tcPr>
            <w:tcW w:w="10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03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49"/>
            </w:tblGrid>
            <w:tr w:rsidR="00466A41" w:rsidRPr="000037B5" w:rsidTr="00EC6D62">
              <w:trPr>
                <w:trHeight w:val="1268"/>
              </w:trPr>
              <w:tc>
                <w:tcPr>
                  <w:tcW w:w="10349" w:type="dxa"/>
                </w:tcPr>
                <w:p w:rsidR="00466A41" w:rsidRPr="000037B5" w:rsidRDefault="00466A41" w:rsidP="00466A41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37B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เกณฑ์การประเมิน :ปี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๒๕๖๔</w:t>
                  </w:r>
                </w:p>
                <w:tbl>
                  <w:tblPr>
                    <w:tblpPr w:leftFromText="180" w:rightFromText="180" w:vertAnchor="text" w:horzAnchor="margin" w:tblpXSpec="center" w:tblpY="35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8"/>
                    <w:gridCol w:w="6379"/>
                  </w:tblGrid>
                  <w:tr w:rsidR="00466A41" w:rsidRPr="000037B5" w:rsidTr="00D24F91">
                    <w:tc>
                      <w:tcPr>
                        <w:tcW w:w="1838" w:type="dxa"/>
                        <w:shd w:val="clear" w:color="auto" w:fill="auto"/>
                      </w:tcPr>
                      <w:p w:rsidR="00466A41" w:rsidRPr="000037B5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ระดับคะแนน</w:t>
                        </w:r>
                      </w:p>
                    </w:tc>
                    <w:tc>
                      <w:tcPr>
                        <w:tcW w:w="6379" w:type="dxa"/>
                        <w:shd w:val="clear" w:color="auto" w:fill="auto"/>
                      </w:tcPr>
                      <w:p w:rsidR="00466A41" w:rsidRPr="000037B5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เกณฑ์การให้คะแนน</w:t>
                        </w:r>
                      </w:p>
                    </w:tc>
                  </w:tr>
                  <w:tr w:rsidR="00466A41" w:rsidRPr="000037B5" w:rsidTr="00D24F91">
                    <w:tc>
                      <w:tcPr>
                        <w:tcW w:w="1838" w:type="dxa"/>
                        <w:shd w:val="clear" w:color="auto" w:fill="auto"/>
                      </w:tcPr>
                      <w:p w:rsidR="00466A41" w:rsidRPr="000037B5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๑</w:t>
                        </w:r>
                      </w:p>
                    </w:tc>
                    <w:tc>
                      <w:tcPr>
                        <w:tcW w:w="6379" w:type="dxa"/>
                        <w:shd w:val="clear" w:color="auto" w:fill="auto"/>
                      </w:tcPr>
                      <w:p w:rsidR="00466A41" w:rsidRDefault="00466A41" w:rsidP="00466A41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รพสต. -มีการประเมินตนเองตามมาตรฐานงานสุขศึกษา ในเว็บไซต์ของกองสุขศึกษา</w:t>
                        </w:r>
                      </w:p>
                      <w:p w:rsidR="00466A41" w:rsidRPr="00391BF5" w:rsidRDefault="00466A41" w:rsidP="00466A41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-มีการประเมินหมู่บ้านและโรงเรียน  ในเว็บไซต์ของกองสุขศึกษา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  ครบทุกแห่ง</w:t>
                        </w:r>
                      </w:p>
                    </w:tc>
                  </w:tr>
                  <w:tr w:rsidR="00466A41" w:rsidRPr="000037B5" w:rsidTr="00D24F91">
                    <w:tc>
                      <w:tcPr>
                        <w:tcW w:w="1838" w:type="dxa"/>
                        <w:shd w:val="clear" w:color="auto" w:fill="auto"/>
                      </w:tcPr>
                      <w:p w:rsidR="00466A41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๒</w:t>
                        </w:r>
                      </w:p>
                    </w:tc>
                    <w:tc>
                      <w:tcPr>
                        <w:tcW w:w="6379" w:type="dxa"/>
                        <w:shd w:val="clear" w:color="auto" w:fill="auto"/>
                      </w:tcPr>
                      <w:p w:rsidR="00466A41" w:rsidRPr="000037B5" w:rsidRDefault="00466A41" w:rsidP="00466A41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รพสต. มีการวิเคราะห์และวางแผนการพัฒนา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466A41" w:rsidRPr="000037B5" w:rsidTr="00D24F91">
                    <w:tc>
                      <w:tcPr>
                        <w:tcW w:w="1838" w:type="dxa"/>
                        <w:shd w:val="clear" w:color="auto" w:fill="auto"/>
                      </w:tcPr>
                      <w:p w:rsidR="00466A41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๓</w:t>
                        </w:r>
                      </w:p>
                    </w:tc>
                    <w:tc>
                      <w:tcPr>
                        <w:tcW w:w="6379" w:type="dxa"/>
                        <w:shd w:val="clear" w:color="auto" w:fill="auto"/>
                      </w:tcPr>
                      <w:p w:rsidR="00466A41" w:rsidRDefault="00466A41" w:rsidP="00466A41">
                        <w:pPr>
                          <w:contextualSpacing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รพสต. 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ผ่านเกณฑ์</w:t>
                        </w:r>
                        <w:r w:rsidRPr="0053313D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มาตรฐานสุขศึกษา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3313D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ระดับ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พัฒนา</w:t>
                        </w:r>
                        <w:r w:rsidRPr="0053313D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:rsidR="00466A41" w:rsidRDefault="00466A41" w:rsidP="00466A41">
                        <w:pPr>
                          <w:contextualSpacing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มีหมู่บ้านปรับเปลี่ยนพฤติกรรม ระดับพัฒนา อย่างน้อย ๑  แห่ง</w:t>
                        </w:r>
                      </w:p>
                      <w:p w:rsidR="00466A41" w:rsidRPr="000037B5" w:rsidRDefault="00466A41" w:rsidP="00466A41">
                        <w:pPr>
                          <w:contextualSpacing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- มีโรงเรียนสุขบัญญัติแห่งชาติ ระดับพัฒนา อย่างน้อย ๑ แห่ง</w:t>
                        </w:r>
                      </w:p>
                    </w:tc>
                  </w:tr>
                  <w:tr w:rsidR="00466A41" w:rsidRPr="000037B5" w:rsidTr="00D24F91">
                    <w:tc>
                      <w:tcPr>
                        <w:tcW w:w="1838" w:type="dxa"/>
                        <w:shd w:val="clear" w:color="auto" w:fill="auto"/>
                      </w:tcPr>
                      <w:p w:rsidR="00466A41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๔</w:t>
                        </w:r>
                      </w:p>
                    </w:tc>
                    <w:tc>
                      <w:tcPr>
                        <w:tcW w:w="6379" w:type="dxa"/>
                        <w:shd w:val="clear" w:color="auto" w:fill="auto"/>
                      </w:tcPr>
                      <w:p w:rsidR="00466A41" w:rsidRDefault="00466A41" w:rsidP="00466A41">
                        <w:pPr>
                          <w:contextualSpacing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รพสต. 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ผ่านเกณฑ์</w:t>
                        </w:r>
                        <w:r w:rsidRPr="0053313D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มาตรฐานสุขศึกษา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3313D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ระดับ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พัฒนา </w:t>
                        </w:r>
                      </w:p>
                      <w:p w:rsidR="00466A41" w:rsidRDefault="00466A41" w:rsidP="00466A41">
                        <w:pPr>
                          <w:contextualSpacing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มีหมู่บ้านปรับเปลี่ยนพฤติกรรม ระดับดี อย่างน้อย ๑  แห่ง</w:t>
                        </w:r>
                      </w:p>
                      <w:p w:rsidR="00466A41" w:rsidRPr="000037B5" w:rsidRDefault="00466A41" w:rsidP="00466A41">
                        <w:pPr>
                          <w:contextualSpacing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- มีโรงเรียนสุขบัญญัติแห่งชาติ ระดับดี อย่างน้อย ๑ แห่ง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466A41" w:rsidRPr="000037B5" w:rsidTr="00D24F91">
                    <w:tc>
                      <w:tcPr>
                        <w:tcW w:w="1838" w:type="dxa"/>
                        <w:shd w:val="clear" w:color="auto" w:fill="auto"/>
                      </w:tcPr>
                      <w:p w:rsidR="00466A41" w:rsidRDefault="00466A41" w:rsidP="00466A4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lastRenderedPageBreak/>
                          <w:t>๕</w:t>
                        </w:r>
                      </w:p>
                    </w:tc>
                    <w:tc>
                      <w:tcPr>
                        <w:tcW w:w="6379" w:type="dxa"/>
                        <w:shd w:val="clear" w:color="auto" w:fill="auto"/>
                      </w:tcPr>
                      <w:p w:rsidR="00466A41" w:rsidRDefault="00466A41" w:rsidP="00466A41">
                        <w:pPr>
                          <w:contextualSpacing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รพสต. 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ผ่านเกณฑ์</w:t>
                        </w:r>
                        <w:r w:rsidRPr="0053313D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มาตรฐานสุขศึกษา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53313D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ระดับ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๓ (ดีมาก)</w:t>
                        </w:r>
                        <w:r w:rsidRPr="0053313D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:rsidR="00466A41" w:rsidRDefault="00466A41" w:rsidP="00466A41">
                        <w:pPr>
                          <w:contextualSpacing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มีหมู่บ้านปรับเปลี่ยนพฤติกรรม ระดับดีมาก/ดีเยี่ยม อย่างน้อย ๑  แห่ง</w:t>
                        </w:r>
                      </w:p>
                      <w:p w:rsidR="00466A41" w:rsidRPr="000037B5" w:rsidRDefault="00466A41" w:rsidP="00466A41">
                        <w:pPr>
                          <w:contextualSpacing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- มีโรงเรียนสุขบัญญัติแห่งชาติ ระดับดีมาก/ดีเยี่ยม อย่างน้อย ๑ แห่ง</w:t>
                        </w:r>
                      </w:p>
                    </w:tc>
                  </w:tr>
                </w:tbl>
                <w:p w:rsidR="00466A41" w:rsidRPr="000037B5" w:rsidRDefault="00466A41" w:rsidP="00466A41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วิธีการประเมินผล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262FE7" w:rsidRDefault="00466A41" w:rsidP="00466A4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รพ.สต. ประเมินตนเองใน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โปรแกรม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ของกองสุขศึกษา</w:t>
            </w:r>
            <w:r w:rsidRPr="00262FE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466A41" w:rsidRPr="00262FE7" w:rsidRDefault="00466A41" w:rsidP="00466A4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รพ.สต.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แผนการพัฒนาและวางแผนแก้ปัญหาตามส่วนขาด</w:t>
            </w:r>
          </w:p>
          <w:p w:rsidR="00466A41" w:rsidRPr="00262FE7" w:rsidRDefault="00466A41" w:rsidP="00466A4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๓. รพ.สต.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ดำเนินการตามแผนงาน/โครงการ</w:t>
            </w:r>
          </w:p>
          <w:p w:rsidR="00466A41" w:rsidRDefault="00466A41" w:rsidP="00466A4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๔. รพ.สต.ได้รับการเยี่ยมเสริมพลังจากกรรมการระดับอำเภอ/โซน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466A41" w:rsidRDefault="00466A41" w:rsidP="00466A4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๕. 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คณะกรรมการระดับจังหวัดเยี่ยม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ประเมินผลการดำเนินงาน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ครบ ๒๒ อำเภอ(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RANKING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466A41" w:rsidRPr="00262FE7" w:rsidRDefault="00466A41" w:rsidP="00466A4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๖. คณะกรรมการระดับโซน/จังหวัด ประเมินคัดเลือก หมู่บ้านปรับเปลี่ยนฯ/โรงเรียนสุขบัญญัติแห่งชาติ/ชุมชนรอบรู้ด้านสุขภาพ ต้นแบบระดับโซน/จังหวัด </w:t>
            </w:r>
          </w:p>
          <w:p w:rsidR="00466A41" w:rsidRPr="00262FE7" w:rsidRDefault="00466A41" w:rsidP="00466A4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๗.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คณะกรรมการเยี่ยมประเมิน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ผลการดำเนินงาน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โดยศูนย์สนับสนุนบริการสุขภาพเขต ๑๐ อุบลราชธานี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สุ่ม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เยี่ยมประเมินผลการดำเนินงาน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จำนวน ๑  อำเภอ</w:t>
            </w:r>
          </w:p>
          <w:p w:rsidR="00466A41" w:rsidRPr="00262FE7" w:rsidRDefault="00466A41" w:rsidP="00466A4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๘.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โรงพยาบาลของรัฐ ประเมินตนเองเมื่อสิ้นสุดแผนงาน/โครงการ</w:t>
            </w:r>
          </w:p>
          <w:p w:rsidR="00466A41" w:rsidRPr="00262FE7" w:rsidRDefault="00466A41" w:rsidP="00466A41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๙.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สรุปรายงานผลการยกระดับ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รพ.สต. ผลการพัฒนาหมู่บ้านปรับเปลี่ยนฯ และผลการพัฒนาโรงเรียนสุขบัญญัติแห่งชาติ</w:t>
            </w:r>
            <w:r w:rsidRPr="00262F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466A41" w:rsidRPr="00FC6D9B" w:rsidTr="00CE19C6">
        <w:trPr>
          <w:trHeight w:val="79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เอกสารสนับสนุน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Default="00466A41" w:rsidP="00466A41">
            <w:pPr>
              <w:tabs>
                <w:tab w:val="left" w:pos="276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๑.มาตรฐานระบบบริการสุขภาพด้านสุขศึกษา สำหรับ รพ.สต.(กองสุขศึกษา)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มาตรฐานระบบบริการสุขภาพด้านสุขศึกษา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จำแนกเป็น ๓ หมวด ๒๓ เกณฑ์ ดังนี้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หมวดที่ ๑ การบริหารจัดการ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 ๑ เกณฑ์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หมวดที่ ๒ กระบวนงานสุขศึกษา มี ๑๘ เกณฑ์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หมวดที่ ๓ ผลลัพธ์การดำเนินงานสุขศึกษาและพัฒนาพฤติกรรมสุขภาพ มี ๔ เกณฑ์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C626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เกณฑ์การประเมินผลงาน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9922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พื้นฐาน</w:t>
            </w:r>
            <w:r w:rsidRPr="009922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922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น้อยกว่าร้อยละ ๖๐ </w:t>
            </w:r>
          </w:p>
          <w:p w:rsidR="00466A41" w:rsidRPr="0099224C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922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ระดับ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</w:t>
            </w:r>
            <w:r w:rsidRPr="009922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9922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ผลการประเมิน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 ๖๐ ถึงน้อยกว่าร้อยละ ๘๐</w:t>
            </w:r>
            <w:r w:rsidRPr="009922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466A41" w:rsidRDefault="00466A41" w:rsidP="00466A41">
            <w:pPr>
              <w:tabs>
                <w:tab w:val="left" w:pos="276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9922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คุณภาพ ผลการประเมิน ตั้งแต่ร้อยละ ๘๐ ขึ้นไป</w:t>
            </w:r>
            <w:r w:rsidRPr="009922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</w:p>
          <w:p w:rsidR="00466A41" w:rsidRDefault="00466A41" w:rsidP="00466A41">
            <w:pPr>
              <w:tabs>
                <w:tab w:val="left" w:pos="276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คู่มือแนวทางการดำเนินงานยกระดับการพัฒนาหมู่บ้านปรับเปลี่ยนพฤติกรรมสุขภาพและโรงเรียนส่งเสริมสุขบัญญัติแห่งชาติ</w:t>
            </w:r>
          </w:p>
          <w:p w:rsidR="00466A41" w:rsidRDefault="00466A41" w:rsidP="00466A41">
            <w:pPr>
              <w:tabs>
                <w:tab w:val="left" w:pos="276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๓.โปรแกรมสุขศึกษาเพื่อการเสริมสร้างความรอบรู้ด้านสุขภาพ ตามหลัก ๓ อ ๒ ส.</w:t>
            </w:r>
          </w:p>
          <w:p w:rsidR="00466A41" w:rsidRDefault="00466A41" w:rsidP="00466A41">
            <w:pPr>
              <w:tabs>
                <w:tab w:val="left" w:pos="276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๔.แนวทางการพัฒนาชุมชนรอบรู้ด้านสุขภาพ</w:t>
            </w:r>
          </w:p>
          <w:p w:rsidR="00466A41" w:rsidRPr="00FC6D9B" w:rsidRDefault="00466A41" w:rsidP="00466A41">
            <w:pPr>
              <w:tabs>
                <w:tab w:val="left" w:pos="276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๕. แนวทางการพัฒนายุ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วอา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สาสมัครสาธารณสุขในโรงเรียน</w:t>
            </w:r>
          </w:p>
        </w:tc>
      </w:tr>
      <w:tr w:rsidR="00466A41" w:rsidRPr="00FC6D9B" w:rsidTr="00CE19C6">
        <w:trPr>
          <w:trHeight w:val="79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41" w:rsidRPr="004D7C3C" w:rsidRDefault="00466A41" w:rsidP="00466A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C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รายละเอียดข้อมูลพื้นฐาน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41" w:rsidRPr="00CB4621" w:rsidRDefault="00466A41" w:rsidP="00466A41">
            <w: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2"/>
              <w:gridCol w:w="993"/>
              <w:gridCol w:w="1073"/>
              <w:gridCol w:w="1559"/>
              <w:gridCol w:w="1701"/>
            </w:tblGrid>
            <w:tr w:rsidR="00466A41" w:rsidRPr="00B50AE3" w:rsidTr="00420B38">
              <w:trPr>
                <w:jc w:val="center"/>
              </w:trPr>
              <w:tc>
                <w:tcPr>
                  <w:tcW w:w="1932" w:type="dxa"/>
                  <w:vMerge w:val="restart"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50AE3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Baseline data</w:t>
                  </w:r>
                </w:p>
              </w:tc>
              <w:tc>
                <w:tcPr>
                  <w:tcW w:w="993" w:type="dxa"/>
                  <w:vMerge w:val="restart"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</w:pPr>
                  <w:r w:rsidRPr="00B50AE3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หน่วยวัด</w:t>
                  </w:r>
                </w:p>
              </w:tc>
              <w:tc>
                <w:tcPr>
                  <w:tcW w:w="4333" w:type="dxa"/>
                  <w:gridSpan w:val="3"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50AE3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466A41" w:rsidRPr="00B50AE3" w:rsidTr="00420B38">
              <w:trPr>
                <w:jc w:val="center"/>
              </w:trPr>
              <w:tc>
                <w:tcPr>
                  <w:tcW w:w="1932" w:type="dxa"/>
                  <w:vMerge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073" w:type="dxa"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50AE3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๒๕๖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๑</w:t>
                  </w:r>
                </w:p>
              </w:tc>
              <w:tc>
                <w:tcPr>
                  <w:tcW w:w="1559" w:type="dxa"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50AE3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๒๕๖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๒</w:t>
                  </w:r>
                </w:p>
              </w:tc>
              <w:tc>
                <w:tcPr>
                  <w:tcW w:w="1701" w:type="dxa"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50AE3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cs/>
                    </w:rPr>
                    <w:t>๒๕๖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๓</w:t>
                  </w:r>
                </w:p>
              </w:tc>
            </w:tr>
            <w:tr w:rsidR="00466A41" w:rsidRPr="00B50AE3" w:rsidTr="00420B38">
              <w:trPr>
                <w:jc w:val="center"/>
              </w:trPr>
              <w:tc>
                <w:tcPr>
                  <w:tcW w:w="1932" w:type="dxa"/>
                </w:tcPr>
                <w:p w:rsidR="00466A41" w:rsidRPr="00381C26" w:rsidRDefault="00466A41" w:rsidP="00466A41">
                  <w:pPr>
                    <w:pStyle w:val="a5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ร้อยละ ๕๐</w:t>
                  </w:r>
                  <w:r w:rsidRPr="00381C2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ประชาชนวัย ๑๕ ปี ขึ้นไป มีความรอบรู้ด้านสุขภาพ ระดับดี ขึ้นไป                 (มีค่าคะแนน</w:t>
                  </w:r>
                  <w:r w:rsidRPr="00381C26">
                    <w:rPr>
                      <w:rFonts w:ascii="TH SarabunPSK" w:hAnsi="TH SarabunPSK" w:cs="TH SarabunPSK"/>
                      <w:sz w:val="32"/>
                      <w:szCs w:val="32"/>
                    </w:rPr>
                    <w:t>&gt;</w:t>
                  </w:r>
                  <w:r w:rsidRPr="00381C2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ร้อยละ๗๐)</w:t>
                  </w:r>
                </w:p>
              </w:tc>
              <w:tc>
                <w:tcPr>
                  <w:tcW w:w="993" w:type="dxa"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1073" w:type="dxa"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466A41" w:rsidRPr="00B50AE3" w:rsidRDefault="00466A41" w:rsidP="00466A4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8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466A41" w:rsidRPr="00B50AE3" w:rsidRDefault="004D7C3C" w:rsidP="00466A4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๕๔.๗๕</w:t>
                  </w:r>
                  <w:r w:rsidR="00466A41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 xml:space="preserve"> </w:t>
                  </w:r>
                </w:p>
              </w:tc>
            </w:tr>
            <w:tr w:rsidR="00466A41" w:rsidRPr="00B50AE3" w:rsidTr="00420B38">
              <w:trPr>
                <w:jc w:val="center"/>
              </w:trPr>
              <w:tc>
                <w:tcPr>
                  <w:tcW w:w="1932" w:type="dxa"/>
                </w:tcPr>
                <w:p w:rsidR="00466A41" w:rsidRPr="00381C26" w:rsidRDefault="00466A41" w:rsidP="00466A41">
                  <w:pPr>
                    <w:pStyle w:val="a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ร้อยละ ๕๐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ประชาชนวัย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เรียนอายุ ๗ - ๑๔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ปี </w:t>
                  </w:r>
                  <w:r w:rsidRPr="00381C2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</w:t>
                  </w:r>
                  <w:r w:rsidRPr="00381C2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lastRenderedPageBreak/>
                    <w:t>ความรอบรู้ด้านสุขภาพ ระดับดี ขึ้นไป (มีค่าคะแนน</w:t>
                  </w:r>
                  <w:r w:rsidRPr="00381C26">
                    <w:rPr>
                      <w:rFonts w:ascii="TH SarabunIT๙" w:hAnsi="TH SarabunIT๙" w:cs="TH SarabunIT๙"/>
                      <w:sz w:val="32"/>
                      <w:szCs w:val="32"/>
                    </w:rPr>
                    <w:t>&gt;</w:t>
                  </w:r>
                  <w:r w:rsidRPr="00381C2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ร้อยละ๗๐)</w:t>
                  </w:r>
                </w:p>
              </w:tc>
              <w:tc>
                <w:tcPr>
                  <w:tcW w:w="993" w:type="dxa"/>
                </w:tcPr>
                <w:p w:rsidR="00466A41" w:rsidRPr="00381C26" w:rsidRDefault="00466A41" w:rsidP="00466A4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lastRenderedPageBreak/>
                    <w:t>ร้อยละ</w:t>
                  </w:r>
                </w:p>
              </w:tc>
              <w:tc>
                <w:tcPr>
                  <w:tcW w:w="1073" w:type="dxa"/>
                </w:tcPr>
                <w:p w:rsidR="00466A41" w:rsidRDefault="00466A41" w:rsidP="00466A4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1559" w:type="dxa"/>
                </w:tcPr>
                <w:p w:rsidR="00466A41" w:rsidRDefault="00466A41" w:rsidP="00466A4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</w:p>
              </w:tc>
              <w:tc>
                <w:tcPr>
                  <w:tcW w:w="1701" w:type="dxa"/>
                </w:tcPr>
                <w:p w:rsidR="00466A41" w:rsidRDefault="004D7C3C" w:rsidP="00466A4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๗๓.๐๐</w:t>
                  </w:r>
                </w:p>
              </w:tc>
            </w:tr>
          </w:tbl>
          <w:p w:rsidR="00466A41" w:rsidRPr="00CB4621" w:rsidRDefault="00466A41" w:rsidP="00466A41"/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ผู้ให้ข้อมูลทางวิชาการ/ผู้ประสานงานตัวชี้วัด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นางวันวิ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สาข์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อรพันธ์ นักวิชาการสาธารณสุขปฏิบัติการ  โทร ๐๘๓ ๑๔๗ ๒๔๓๘ </w:t>
            </w:r>
          </w:p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ศูนย์สนับสนุนบริการสุขภาพเขต ๑๐ อุบลราชธานี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โทร ๐ ๔๕๒๕ ๑๗๔๙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หน่วยงานประมวลผล</w:t>
            </w:r>
          </w:p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และจัดทำข้อมูล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ศูนย์สนับสนุนบริการสุขภาพเขต ๑๐ อุบลราชธานี</w:t>
            </w:r>
          </w:p>
          <w:p w:rsidR="00466A41" w:rsidRPr="00FC6D9B" w:rsidRDefault="00466A41" w:rsidP="00466A4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372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กองสุขศึกษา</w:t>
            </w:r>
          </w:p>
        </w:tc>
      </w:tr>
      <w:tr w:rsidR="00466A41" w:rsidRPr="00FC6D9B" w:rsidTr="00CE19C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41" w:rsidRPr="00FC6D9B" w:rsidRDefault="00466A41" w:rsidP="00466A41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นางเสาวคนธ์  สุจิ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นพรัหม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นักวิชาการสาธารณสุขชำนาญการ กลุ่มงานการสาธารณสุขมูลฐานและระบบสุขภาพปฐมภูมิ สำนักงานสาธารณสุขจังหวัดศรีสะ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Email:saowkhon2505@gmail.com /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โทร ๐๙๐ ๒๕๘ ๔๒๓๕</w:t>
            </w:r>
          </w:p>
        </w:tc>
      </w:tr>
    </w:tbl>
    <w:p w:rsidR="0084084C" w:rsidRPr="00FC6D9B" w:rsidRDefault="0084084C" w:rsidP="0084084C">
      <w:pPr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:rsidR="00FE32AD" w:rsidRPr="0084084C" w:rsidRDefault="00FE32AD"/>
    <w:sectPr w:rsidR="00FE32AD" w:rsidRPr="0084084C" w:rsidSect="0084084C">
      <w:pgSz w:w="11906" w:h="16838"/>
      <w:pgMar w:top="851" w:right="70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A54C9"/>
    <w:multiLevelType w:val="hybridMultilevel"/>
    <w:tmpl w:val="E6200DA4"/>
    <w:lvl w:ilvl="0" w:tplc="C4C41952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8C2554"/>
    <w:multiLevelType w:val="hybridMultilevel"/>
    <w:tmpl w:val="ACD2AA7E"/>
    <w:lvl w:ilvl="0" w:tplc="9CE462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66D64"/>
    <w:multiLevelType w:val="hybridMultilevel"/>
    <w:tmpl w:val="2466DE0E"/>
    <w:lvl w:ilvl="0" w:tplc="E21850E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52F7148B"/>
    <w:multiLevelType w:val="hybridMultilevel"/>
    <w:tmpl w:val="6D0E218E"/>
    <w:lvl w:ilvl="0" w:tplc="10028B38">
      <w:start w:val="2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7D2D7DA0"/>
    <w:multiLevelType w:val="hybridMultilevel"/>
    <w:tmpl w:val="6EE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4C"/>
    <w:rsid w:val="00016FA5"/>
    <w:rsid w:val="00021D8F"/>
    <w:rsid w:val="000657C6"/>
    <w:rsid w:val="00087E23"/>
    <w:rsid w:val="00087FD3"/>
    <w:rsid w:val="000A58D2"/>
    <w:rsid w:val="000B72F4"/>
    <w:rsid w:val="000B730E"/>
    <w:rsid w:val="000C3EF7"/>
    <w:rsid w:val="00152B75"/>
    <w:rsid w:val="00162521"/>
    <w:rsid w:val="001920D2"/>
    <w:rsid w:val="001B59A6"/>
    <w:rsid w:val="001C56AF"/>
    <w:rsid w:val="001E5EE9"/>
    <w:rsid w:val="001F50ED"/>
    <w:rsid w:val="002217CB"/>
    <w:rsid w:val="002236E1"/>
    <w:rsid w:val="00262FE7"/>
    <w:rsid w:val="002836AA"/>
    <w:rsid w:val="0028665C"/>
    <w:rsid w:val="002B05D3"/>
    <w:rsid w:val="002C3E0E"/>
    <w:rsid w:val="002F5822"/>
    <w:rsid w:val="002F7CCA"/>
    <w:rsid w:val="00353519"/>
    <w:rsid w:val="00360CB1"/>
    <w:rsid w:val="00381C26"/>
    <w:rsid w:val="003C6262"/>
    <w:rsid w:val="003C63B3"/>
    <w:rsid w:val="003D305E"/>
    <w:rsid w:val="003E2054"/>
    <w:rsid w:val="003F14C7"/>
    <w:rsid w:val="00401FAD"/>
    <w:rsid w:val="004209D4"/>
    <w:rsid w:val="004225E1"/>
    <w:rsid w:val="004401D9"/>
    <w:rsid w:val="00464BBE"/>
    <w:rsid w:val="004652CD"/>
    <w:rsid w:val="00466A41"/>
    <w:rsid w:val="00467FAB"/>
    <w:rsid w:val="00470EA7"/>
    <w:rsid w:val="00471D2B"/>
    <w:rsid w:val="004A1AFF"/>
    <w:rsid w:val="004D5C5E"/>
    <w:rsid w:val="004D7C3C"/>
    <w:rsid w:val="004E2BAC"/>
    <w:rsid w:val="004E567E"/>
    <w:rsid w:val="0053313D"/>
    <w:rsid w:val="00547DFA"/>
    <w:rsid w:val="005560A9"/>
    <w:rsid w:val="005632F0"/>
    <w:rsid w:val="0060379F"/>
    <w:rsid w:val="00611EB2"/>
    <w:rsid w:val="006436E9"/>
    <w:rsid w:val="00683069"/>
    <w:rsid w:val="006A4F7A"/>
    <w:rsid w:val="006B1761"/>
    <w:rsid w:val="006C1304"/>
    <w:rsid w:val="006C5E03"/>
    <w:rsid w:val="007329D2"/>
    <w:rsid w:val="007331B2"/>
    <w:rsid w:val="007776D4"/>
    <w:rsid w:val="0079492E"/>
    <w:rsid w:val="00795B4D"/>
    <w:rsid w:val="007971CD"/>
    <w:rsid w:val="007C1A21"/>
    <w:rsid w:val="008120B1"/>
    <w:rsid w:val="00821BE0"/>
    <w:rsid w:val="00825654"/>
    <w:rsid w:val="0084084C"/>
    <w:rsid w:val="00847235"/>
    <w:rsid w:val="0085756A"/>
    <w:rsid w:val="008777E3"/>
    <w:rsid w:val="008862DF"/>
    <w:rsid w:val="008A698C"/>
    <w:rsid w:val="009032DE"/>
    <w:rsid w:val="00972B82"/>
    <w:rsid w:val="00973147"/>
    <w:rsid w:val="00985657"/>
    <w:rsid w:val="0099224C"/>
    <w:rsid w:val="0099361F"/>
    <w:rsid w:val="009A20C5"/>
    <w:rsid w:val="009B34F0"/>
    <w:rsid w:val="009B6352"/>
    <w:rsid w:val="00A16E80"/>
    <w:rsid w:val="00A30AAB"/>
    <w:rsid w:val="00A3261C"/>
    <w:rsid w:val="00A55B53"/>
    <w:rsid w:val="00A5733C"/>
    <w:rsid w:val="00AC69B0"/>
    <w:rsid w:val="00AE23FD"/>
    <w:rsid w:val="00AE4881"/>
    <w:rsid w:val="00B17471"/>
    <w:rsid w:val="00B23175"/>
    <w:rsid w:val="00B655B7"/>
    <w:rsid w:val="00B71080"/>
    <w:rsid w:val="00B719EF"/>
    <w:rsid w:val="00B7544C"/>
    <w:rsid w:val="00B82895"/>
    <w:rsid w:val="00B85E25"/>
    <w:rsid w:val="00BA263D"/>
    <w:rsid w:val="00BC100F"/>
    <w:rsid w:val="00BD317F"/>
    <w:rsid w:val="00BE6AF0"/>
    <w:rsid w:val="00C1674A"/>
    <w:rsid w:val="00C47396"/>
    <w:rsid w:val="00C55AD0"/>
    <w:rsid w:val="00C73A50"/>
    <w:rsid w:val="00CB0FD5"/>
    <w:rsid w:val="00CB3CB6"/>
    <w:rsid w:val="00CD11E7"/>
    <w:rsid w:val="00CD2C1F"/>
    <w:rsid w:val="00CE53EB"/>
    <w:rsid w:val="00D04C6C"/>
    <w:rsid w:val="00D13165"/>
    <w:rsid w:val="00D241C6"/>
    <w:rsid w:val="00D95B12"/>
    <w:rsid w:val="00DA0AD9"/>
    <w:rsid w:val="00DA17FB"/>
    <w:rsid w:val="00DA39C7"/>
    <w:rsid w:val="00DF2647"/>
    <w:rsid w:val="00E0119A"/>
    <w:rsid w:val="00E01EA0"/>
    <w:rsid w:val="00E23FC1"/>
    <w:rsid w:val="00E36FBE"/>
    <w:rsid w:val="00E422CC"/>
    <w:rsid w:val="00EC6D62"/>
    <w:rsid w:val="00ED18E0"/>
    <w:rsid w:val="00ED5FCC"/>
    <w:rsid w:val="00F350E2"/>
    <w:rsid w:val="00F55598"/>
    <w:rsid w:val="00F566E3"/>
    <w:rsid w:val="00F77885"/>
    <w:rsid w:val="00F87E09"/>
    <w:rsid w:val="00FA6BE5"/>
    <w:rsid w:val="00FB709E"/>
    <w:rsid w:val="00FD0699"/>
    <w:rsid w:val="00FD2189"/>
    <w:rsid w:val="00FE32A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96EF14-C065-455D-922C-31CEEDA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26"/>
    <w:pPr>
      <w:spacing w:line="240" w:lineRule="auto"/>
    </w:pPr>
    <w:rPr>
      <w:rFonts w:ascii="Calibri" w:eastAsia="Calibri" w:hAnsi="Calibri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B2"/>
    <w:pPr>
      <w:ind w:left="720"/>
      <w:contextualSpacing/>
    </w:pPr>
    <w:rPr>
      <w:rFonts w:cs="Angsana New"/>
    </w:rPr>
  </w:style>
  <w:style w:type="paragraph" w:customStyle="1" w:styleId="1">
    <w:name w:val="ปกติ1"/>
    <w:rsid w:val="00FB709E"/>
    <w:pPr>
      <w:spacing w:line="240" w:lineRule="auto"/>
    </w:pPr>
    <w:rPr>
      <w:rFonts w:ascii="Calibri" w:eastAsia="Calibri" w:hAnsi="Calibri" w:cs="Calibri"/>
      <w:color w:val="000000"/>
      <w:szCs w:val="22"/>
    </w:rPr>
  </w:style>
  <w:style w:type="character" w:styleId="a4">
    <w:name w:val="Subtle Emphasis"/>
    <w:basedOn w:val="a0"/>
    <w:uiPriority w:val="19"/>
    <w:qFormat/>
    <w:rsid w:val="00E36FBE"/>
    <w:rPr>
      <w:i/>
      <w:iCs/>
      <w:color w:val="404040" w:themeColor="text1" w:themeTint="BF"/>
    </w:rPr>
  </w:style>
  <w:style w:type="paragraph" w:styleId="a5">
    <w:name w:val="No Spacing"/>
    <w:uiPriority w:val="1"/>
    <w:qFormat/>
    <w:rsid w:val="00381C26"/>
    <w:pPr>
      <w:spacing w:line="240" w:lineRule="auto"/>
    </w:pPr>
    <w:rPr>
      <w:rFonts w:ascii="Calibri" w:eastAsia="Calibri" w:hAnsi="Calibri" w:cs="Angsana New"/>
    </w:rPr>
  </w:style>
  <w:style w:type="paragraph" w:styleId="a6">
    <w:name w:val="Balloon Text"/>
    <w:basedOn w:val="a"/>
    <w:link w:val="a7"/>
    <w:uiPriority w:val="99"/>
    <w:semiHidden/>
    <w:unhideWhenUsed/>
    <w:rsid w:val="00DF2647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F2647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64AC-2066-4B1F-9057-A52B7779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พีชี</dc:creator>
  <cp:lastModifiedBy>PV</cp:lastModifiedBy>
  <cp:revision>2</cp:revision>
  <cp:lastPrinted>2022-01-14T08:03:00Z</cp:lastPrinted>
  <dcterms:created xsi:type="dcterms:W3CDTF">2022-01-14T08:08:00Z</dcterms:created>
  <dcterms:modified xsi:type="dcterms:W3CDTF">2022-01-14T08:08:00Z</dcterms:modified>
</cp:coreProperties>
</file>